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9D" w:rsidRPr="003C339D" w:rsidRDefault="003C339D" w:rsidP="003C3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Phylogeny of the genus Iris based on DNA sequence data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1100" cy="6219825"/>
            <wp:effectExtent l="0" t="0" r="0" b="9525"/>
            <wp:docPr id="2" name="Picture 2" descr="http://www.rsabg.org/iris/images/stories/backup_images/webiris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sabg.org/iris/images/stories/backup_images/webirist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Research from Carol A. Wilson, 2004.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based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chloroplast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matK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gene 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trnK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intron sequence data. Molecular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Phylogenetics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Evolution 33: 402-412.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Goals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test the current hypothesis of evolution for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by determining if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subgeneric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sectional divisions within the genus are monophyletic (comprise one lineage).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lastRenderedPageBreak/>
        <w:t>Data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matK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gene is an approximately 1.5 kb protein-coding region between two highly conserved exons (segments) of the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trnK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gene. Nucleotide sequence data of the gene and portions of the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trnK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introns on either side of the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matK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gene were used. The combined data set had 1996 nucleotide characters of which 24% were variable within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C339D" w:rsidRPr="003C339D" w:rsidRDefault="003C339D" w:rsidP="003C3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00550" cy="523875"/>
            <wp:effectExtent l="0" t="0" r="0" b="9525"/>
            <wp:docPr id="1" name="Picture 1" descr="http://www.rsabg.org/iris/images/stories/backup_images/webiris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sabg.org/iris/images/stories/backup_images/webirisma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Analysis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Maximum likelihood where the most likely tree based on the data and chosen model of nucleotide evolution was used. For this analysis I used the HYK-85 + G model which assumes the following. The nucleotide composition of the data set will be unequal. Transitions (interchanges between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pyrimidines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 &amp; T, or between purines, G &amp; A) occurred more frequently than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transversions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(interchanges between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pyrimidines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purines). The probability that nucleotide changes would occur was not evenly distributed across the data set. The model was chosen based on a comparison of the fit between the data set and potential models of nucleotide substitution.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Important Findings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01"/>
      <w:bookmarkEnd w:id="0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Placement of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Belamcanda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chinensis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Belamcanda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chinensis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was resolved within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the base of the subgenus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clade.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Goldblatt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Mabberley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(2005) published a name change to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domestica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since I completed this study. This species was considered distinct from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because it had sepals and petals that were similar (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homophyllous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). This placement indicates that the ancestor to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domestica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probably had a typical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heterophyllous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Iris flower.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1" w:name="02"/>
      <w:bookmarkEnd w:id="1"/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Polyphyly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of subgenus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this study,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was resolved as a polyphyletic (comprising more than one lineage) assemblage with eight separate origins. In addition, neither of the current sections (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Lophiris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and only some of the series are monophyletic. Previous researchers (Lawrence, 1953; Mathew, 1989) recognized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a natural group based on the lack of sepal beards and presence of rhizomes. Dykes (1913) placed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in two sections. These two sections were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Evansia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species with sepal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crests, that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are now in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Lophiris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Apogon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non-crested species that are now placed in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Lawrence suggested that the crested species might not be a natural group.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2" w:name="03"/>
      <w:bookmarkEnd w:id="2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Placement of I.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falcifolia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My data places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falcifolia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sister to the bulbous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Scopiris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falcifolia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(subgenus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is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an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ususual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 small flowers, long stems and a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geophytic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structure that has been interpreted as a small rhizome (Dykes, 1913). The materials I studied had swollen leaf bases, slightly swollen roots and lacked rhizomes. Early workers either placed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falcifolia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into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(Dykes, 1913) or placed it with species from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into an inclusive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(Lawrence, 1953;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Rodionenko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1987). More recently, researchers have segregated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suggested a close relationship with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(Mathew, 1989), or considered it distinct from other groups (Taylor, 1976). Although the affinities of the two species currently in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disputed by previous researchers, all have considered them within subgenus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My results indicate that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falcifolia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should not be placed with other subgenus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species.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3" w:name="04"/>
      <w:bookmarkEnd w:id="3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Sections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and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Psammris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are not monophyletic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relationships within the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controversial. Dykes (1913) did not recognize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as distinct and placed these species in either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section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(his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Pogoniris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). Lawrence (1953) placed some species from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into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others with some species from both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into his subsection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Pogoniris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series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Pumilae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 remaining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were left in subsection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Rodioninko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(1987) combined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some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with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species. Similar to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Larwence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(1953),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Rodioninko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left some species within subsection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 current assignment of species into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based on Taylor’s (1976) work that segregated out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species. He considered the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superficially resemble each other in size and floral morphology but to differ in rhizome morphology with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possessing compact rhizomes and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slender, spreading rhizomes. Mathew (1989) followed Taylor’s circumscription of these two sections.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currently circumscribed as belonging to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are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montane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Asian species with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humilis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extending into Europe. Based on my observations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tigridia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potaninii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share morphological features such as tuberous roots,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fiberous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leaf remains, low tufted stature, </w:t>
      </w:r>
      <w:proofErr w:type="spellStart"/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membraneous</w:t>
      </w:r>
      <w:proofErr w:type="spellEnd"/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bract-like leaves at the base of each stem and small arils on their seeds. It is surprising that previous researchers dismissed these similarities as superficial. A small aril is also present on seeds of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I.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humilis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is reported to be present on other species of these sections (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Rodinonenko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1987).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Conclusions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This study has made progress in resolving relationships within the large and diverse 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although considerable work remains.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Belamcanda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chinensis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domestica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is placed within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Both of the two largest subgenera,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are polyphyletic as currently circumscribed. The small section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Hexapogon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does not belong within subgenus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Species within subgenus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Limniris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undergone at least eight separate origins. Sections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Pseudoregelia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Psammris</w:t>
      </w:r>
      <w:proofErr w:type="spellEnd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are not monophyletic 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Acknowledgements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thank the UC Berkeley Botanic Garden for leaf material and access to living collections of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Iridaceae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I also thank Maia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Akhalkatsi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Nina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Alexeeva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Lisa Karst, Marine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Mosulishvili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Mary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Pfauth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Erdogan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Usta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sending me plant material for this study and students Nicole Andrus and Tim Brock for help in the Laboratory. The American Iris Society and National Science Foundation (DEB-0416377) provided funding for this project.</w:t>
      </w:r>
    </w:p>
    <w:p w:rsidR="003C339D" w:rsidRPr="003C339D" w:rsidRDefault="003C339D" w:rsidP="003C3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3C339D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References</w:t>
      </w:r>
    </w:p>
    <w:p w:rsidR="003C339D" w:rsidRPr="003C339D" w:rsidRDefault="003C339D" w:rsidP="003C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lang w:val="en-GB"/>
        </w:rPr>
      </w:pP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Dykes, W.R. 1913.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 Genus Iris.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Dover Publications, Inc., New York, NY.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Goldblatt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P. &amp; D.J.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Mabberley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2005.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Belamcanda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included in </w:t>
      </w:r>
      <w:proofErr w:type="gramStart"/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the new combination I.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domestica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Iridaceae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Irideae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Novon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15: 128–132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 xml:space="preserve">Lawrence, G.H.M. 1953.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reclassification of the 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Gentes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Herbarum</w:t>
      </w:r>
      <w:proofErr w:type="spellEnd"/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8, 346-371.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Mathew, B. 1989.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The Iris.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Batsford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Ltd., London, UK.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Rodinonenko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G.I. 1987.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Genus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Iris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(English translation)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The British Iris Society, London UK.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 xml:space="preserve">Taylor, J.L. 1976. </w:t>
      </w:r>
      <w:proofErr w:type="gram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reclassification of </w:t>
      </w:r>
      <w:r w:rsidRPr="003C339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Iris 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species bearing </w:t>
      </w:r>
      <w:proofErr w:type="spellStart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>arillate</w:t>
      </w:r>
      <w:proofErr w:type="spell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seeds.</w:t>
      </w:r>
      <w:proofErr w:type="gramEnd"/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C33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Proc. Biol. Soc. Washington.</w:t>
      </w:r>
      <w:r w:rsidRPr="003C33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89, 411-420.</w:t>
      </w:r>
      <w:bookmarkStart w:id="4" w:name="_GoBack"/>
      <w:bookmarkEnd w:id="4"/>
    </w:p>
    <w:p w:rsidR="00754DD3" w:rsidRDefault="00754DD3"/>
    <w:sectPr w:rsidR="00754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9D"/>
    <w:rsid w:val="003C339D"/>
    <w:rsid w:val="0075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3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C33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33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33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33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text">
    <w:name w:val="articletext"/>
    <w:basedOn w:val="Normal"/>
    <w:rsid w:val="003C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339D"/>
    <w:rPr>
      <w:i/>
      <w:iCs/>
    </w:rPr>
  </w:style>
  <w:style w:type="character" w:styleId="Strong">
    <w:name w:val="Strong"/>
    <w:basedOn w:val="DefaultParagraphFont"/>
    <w:uiPriority w:val="22"/>
    <w:qFormat/>
    <w:rsid w:val="003C33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3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C33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33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33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33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text">
    <w:name w:val="articletext"/>
    <w:basedOn w:val="Normal"/>
    <w:rsid w:val="003C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339D"/>
    <w:rPr>
      <w:i/>
      <w:iCs/>
    </w:rPr>
  </w:style>
  <w:style w:type="character" w:styleId="Strong">
    <w:name w:val="Strong"/>
    <w:basedOn w:val="DefaultParagraphFont"/>
    <w:uiPriority w:val="22"/>
    <w:qFormat/>
    <w:rsid w:val="003C33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38835">
          <w:marLeft w:val="0"/>
          <w:marRight w:val="0"/>
          <w:marTop w:val="0"/>
          <w:marBottom w:val="0"/>
          <w:divBdr>
            <w:top w:val="single" w:sz="6" w:space="4" w:color="333333"/>
            <w:left w:val="single" w:sz="6" w:space="4" w:color="333333"/>
            <w:bottom w:val="single" w:sz="6" w:space="4" w:color="333333"/>
            <w:right w:val="single" w:sz="6" w:space="4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Phylogeny of the genus Iris based on DNA sequence data</vt:lpstr>
      <vt:lpstr>        Goals</vt:lpstr>
      <vt:lpstr>        Data</vt:lpstr>
      <vt:lpstr>        Analysis</vt:lpstr>
      <vt:lpstr>        Important Findings</vt:lpstr>
      <vt:lpstr>        Conclusions</vt:lpstr>
      <vt:lpstr>        Acknowledgements</vt:lpstr>
      <vt:lpstr>        References</vt:lpstr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2012-03-15T02:43:00Z</dcterms:created>
  <dcterms:modified xsi:type="dcterms:W3CDTF">2012-03-15T02:44:00Z</dcterms:modified>
</cp:coreProperties>
</file>